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9"/>
    <w:p>
      <w:pPr>
        <w:pStyle w:val="Heading1"/>
      </w:pPr>
      <w:r>
        <w:t xml:space="preserve">Homiletics Analysis: Judges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19 recounts one of the most disturbing narratives in all of Scripture. A Levite from the hill country of Ephraim takes a concubine from Bethlehem in Judah. When she leaves him and returns to her father’s house, the Levite travels to retrieve her after four months. After an extended, hospitality-laden delay at the father’s house, the Levite departs late in the day with his concubine and servant, refusing to stop in Jebus (Jerusalem, a foreign city) and pressing on to Gibeah of Benjamin. There, an old man from Ephraim sojourning in Gibeah takes them in — for no townsman of Gibeah had offered hospitality. During the night, the men of Gibeah surround the house and demand the Levite be brought out for sexual violence. The host offers his own daughter and the Levite’s concubine instead. The Levite thrusts his concubine out the door. She is gang-raped throughout the night and found dead on the threshold at dawn. The Levite loads her body on his donkey, returns home, dismembers her body into twelve pieces, and sends the pieces throughout Israel, calling the nation to respond. The chapter ends with the narrator’s anticipatory note:</w:t>
      </w:r>
      <w:r>
        <w:t xml:space="preserve"> </w:t>
      </w:r>
      <w:r>
        <w:t xml:space="preserve">“Consider it, take counsel, and speak.”</w:t>
      </w:r>
    </w:p>
    <w:p>
      <w:pPr>
        <w:pStyle w:val="BodyText"/>
      </w:pPr>
      <w:r>
        <w:rPr>
          <w:b/>
          <w:bCs/>
        </w:rPr>
        <w:t xml:space="preserve">This Text — Intent</w:t>
      </w:r>
    </w:p>
    <w:p>
      <w:pPr>
        <w:pStyle w:val="BodyText"/>
      </w:pPr>
      <w:r>
        <w:t xml:space="preserve">Judges 19 is a controlled act of theological horror. Its intent is to force the reader to see — without flinching — what Israel has become when every man does what is right in his own eyes (Judges 21:25). God is not merely describing moral decline; He is holding up a mirror to a nation that has lost its covenant identity so thoroughly that Gibeah of Benjamin now resembles Sodom of Canaan. The intent is diagnostic: to produce in the reader grief, revulsion, and recognition — not merely of a historical atrocity, but of the trajectory of any people who abandon their covenant Lord. The chapter is positioned as both judgment already rendered in narrative form and warning to every subsequent generation of God’s people about what godlessness looks like when it reaches its conclusion. The repeated absence of God’s name from the chapter — He is never invoked, never consulted, never present in any character’s action — is itself an indictment. The intent is to make the reader feel the weight of that absence.</w:t>
      </w:r>
    </w:p>
    <w:p>
      <w:r>
        <w:pict>
          <v:rect style="width:0;height:1.5pt" o:hralign="center" o:hrstd="t" o:hr="t"/>
        </w:pict>
      </w:r>
    </w:p>
    <w:p>
      <w:pPr>
        <w:pStyle w:val="FirstParagraph"/>
      </w:pPr>
      <w:r>
        <w:rPr>
          <w:b/>
          <w:bCs/>
        </w:rPr>
        <w:t xml:space="preserve">Subject Sentence:</w:t>
      </w:r>
      <w:r>
        <w:t xml:space="preserve"> </w:t>
      </w:r>
      <w:r>
        <w:t xml:space="preserve">When God is absent from a people’s life, every human dignity collapses.</w:t>
      </w:r>
    </w:p>
    <w:p>
      <w:r>
        <w:pict>
          <v:rect style="width:0;height:1.5pt" o:hralign="center" o:hrstd="t" o:hr="t"/>
        </w:pict>
      </w:r>
    </w:p>
    <w:p>
      <w:pPr>
        <w:pStyle w:val="FirstParagraph"/>
      </w:pPr>
      <w:r>
        <w:rPr>
          <w:b/>
          <w:bCs/>
        </w:rPr>
        <w:t xml:space="preserve">Primary Claim:</w:t>
      </w:r>
      <w:r>
        <w:t xml:space="preserve"> </w:t>
      </w:r>
      <w:r>
        <w:t xml:space="preserve">God is showing Israel — and every reader — that a covenant community without Him does not merely decline morally but inverts the very structures of justice, protection, and dignity He designed; the horror of Gibeah is the destination of any people who have made themselves their own lord.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status of the concubine and the Levite’s culpability</w:t>
      </w:r>
    </w:p>
    <w:p>
      <w:pPr>
        <w:pStyle w:val="BodyText"/>
      </w:pPr>
      <w:r>
        <w:t xml:space="preserve">A significant interpretive question concerns how to read the Levite himself. Some expositors treat him sympathetically — he travels to retrieve his concubine, endures the extended delay, and acts within the constraints of an impossible situation at Gibeah. On this reading, the men of Gibeah are the singular villains, and the Levite is a victim alongside his concubine. This reading must be</w:t>
      </w:r>
      <w:r>
        <w:t xml:space="preserve"> </w:t>
      </w:r>
      <w:r>
        <w:rPr>
          <w:i/>
          <w:iCs/>
        </w:rPr>
        <w:t xml:space="preserve">qualified</w:t>
      </w:r>
      <w:r>
        <w:t xml:space="preserve">. The text presents the Levite throughout with morally ambiguous signals: his delay at the father’s house may reflect cowardice or indecision rather than affection; his decision to press past Jebus into Israelite territory out of ethnic preference proves catastrophic; and most damningly, he</w:t>
      </w:r>
      <w:r>
        <w:t xml:space="preserve"> </w:t>
      </w:r>
      <w:r>
        <w:rPr>
          <w:i/>
          <w:iCs/>
        </w:rPr>
        <w:t xml:space="preserve">thrusts</w:t>
      </w:r>
      <w:r>
        <w:t xml:space="preserve"> </w:t>
      </w:r>
      <w:r>
        <w:t xml:space="preserve">his concubine out the door (v. 25 — the verb is active, not passive). The text does not excuse him. He then sleeps, rises in the morning, and coldly instructs her to</w:t>
      </w:r>
      <w:r>
        <w:t xml:space="preserve"> </w:t>
      </w:r>
      <w:r>
        <w:t xml:space="preserve">“get up and let us be going”</w:t>
      </w:r>
      <w:r>
        <w:t xml:space="preserve"> </w:t>
      </w:r>
      <w:r>
        <w:t xml:space="preserve">(v. 28), with no apparent awareness that she is dead until he speaks. His subsequent dismemberment of her body and his self-serving account of the night’s events to the tribes (Judges 20:4-7 — notably omitting his own role in thrusting her out) confirm that the narrative is indicting him as well. The Reformed reading acknowledges this: the text is generating a comprehensive indictment, not distributing heroes and villains but showing that every actor in the story is marked by the moral disintegration of the age.</w:t>
      </w:r>
    </w:p>
    <w:p>
      <w:pPr>
        <w:pStyle w:val="BodyText"/>
      </w:pPr>
      <w:r>
        <w:rPr>
          <w:b/>
          <w:bCs/>
        </w:rPr>
        <w:t xml:space="preserve">The parallel with Genesis 19 (Sodom)</w:t>
      </w:r>
    </w:p>
    <w:p>
      <w:pPr>
        <w:pStyle w:val="BodyText"/>
      </w:pPr>
      <w:r>
        <w:t xml:space="preserve">The parallels with Genesis 19 are unmistakable and interpretively deliberate: a sojourner receives travelers, townsfolk demand sexual access to the guests, the host offers his daughter instead, and the visitors are men of some standing. The question is how to read this parallel’s function. Some read it as primarily typological — Gibeah becomes a type of judgment city, and the subsequent war (Judges 20) a type of divine judgment. Others read it as merely literary echo, signaling moral equivalence without typological intent. The Reformed reading goes further: the parallel is</w:t>
      </w:r>
      <w:r>
        <w:t xml:space="preserve"> </w:t>
      </w:r>
      <w:r>
        <w:rPr>
          <w:i/>
          <w:iCs/>
        </w:rPr>
        <w:t xml:space="preserve">theologically charged</w:t>
      </w:r>
      <w:r>
        <w:t xml:space="preserve">. Sodom was a pagan city destroyed by God for its wickedness. Gibeah is a city of</w:t>
      </w:r>
      <w:r>
        <w:t xml:space="preserve"> </w:t>
      </w:r>
      <w:r>
        <w:rPr>
          <w:i/>
          <w:iCs/>
        </w:rPr>
        <w:t xml:space="preserve">Benjamin</w:t>
      </w:r>
      <w:r>
        <w:t xml:space="preserve"> </w:t>
      </w:r>
      <w:r>
        <w:t xml:space="preserve">— a tribe of Israel, a son of Jacob, within the covenant people. The horror is not merely that Israel did what Sodom did; it is that a covenant people became Sodom. This is not typology so much as</w:t>
      </w:r>
      <w:r>
        <w:t xml:space="preserve"> </w:t>
      </w:r>
      <w:r>
        <w:rPr>
          <w:i/>
          <w:iCs/>
        </w:rPr>
        <w:t xml:space="preserve">inversion</w:t>
      </w:r>
      <w:r>
        <w:t xml:space="preserve"> </w:t>
      </w:r>
      <w:r>
        <w:t xml:space="preserve">— the narrative is using the Sodom echo to make the most damning point possible: Israel has become what it was delivered</w:t>
      </w:r>
      <w:r>
        <w:t xml:space="preserve"> </w:t>
      </w:r>
      <w:r>
        <w:rPr>
          <w:i/>
          <w:iCs/>
        </w:rPr>
        <w:t xml:space="preserve">from</w:t>
      </w:r>
      <w:r>
        <w:t xml:space="preserve">. This reading must be insisted upon because it sharpens the Primary Claim considerably.</w:t>
      </w:r>
    </w:p>
    <w:p>
      <w:pPr>
        <w:pStyle w:val="BodyText"/>
      </w:pPr>
      <w:r>
        <w:rPr>
          <w:b/>
          <w:bCs/>
        </w:rPr>
        <w:t xml:space="preserve">The silence of God</w:t>
      </w:r>
    </w:p>
    <w:p>
      <w:pPr>
        <w:pStyle w:val="BodyText"/>
      </w:pPr>
      <w:r>
        <w:t xml:space="preserve">A notable feature of the chapter is the complete absence of the divine name in any character’s prayer, appeal, or action until Judges 20:1-2, where Israel finally assembles</w:t>
      </w:r>
      <w:r>
        <w:t xml:space="preserve"> </w:t>
      </w:r>
      <w:r>
        <w:t xml:space="preserve">“before the LORD.”</w:t>
      </w:r>
      <w:r>
        <w:t xml:space="preserve"> </w:t>
      </w:r>
      <w:r>
        <w:t xml:space="preserve">Some expositors treat this absence as simply a feature of the narrative’s realistic mode — not every account of events invokes God explicitly. This reading must be</w:t>
      </w:r>
      <w:r>
        <w:t xml:space="preserve"> </w:t>
      </w:r>
      <w:r>
        <w:rPr>
          <w:i/>
          <w:iCs/>
        </w:rPr>
        <w:t xml:space="preserve">refuted</w:t>
      </w:r>
      <w:r>
        <w:t xml:space="preserve"> </w:t>
      </w:r>
      <w:r>
        <w:t xml:space="preserve">as hermeneutically naive given the book’s structure. Judges consistently marks divine presence or absence as theologically significant — the Spirit comes upon judges, the LORD raises up deliverers, characters cry out to the LORD. The complete silence of God in chapter 19 is not accidental or stylistic; it is the point. No one prays. No one consults God. No one is said to act in His name or by His power. The Levite is a religious functionary with no apparent religion. This void is precisely what the closing refrain of Judges diagnoses:</w:t>
      </w:r>
      <w:r>
        <w:t xml:space="preserve"> </w:t>
      </w:r>
      <w:r>
        <w:t xml:space="preserve">“In those days there was no king in Israel. Everyone did what was right in his own eyes.”</w:t>
      </w:r>
      <w:r>
        <w:t xml:space="preserve"> </w:t>
      </w:r>
      <w:r>
        <w:t xml:space="preserve">The Reformed reading insists on this silence as a structural and theological feature of the text, not merely an absence.</w:t>
      </w:r>
    </w:p>
    <w:p>
      <w:pPr>
        <w:pStyle w:val="BodyText"/>
      </w:pPr>
      <w:r>
        <w:rPr>
          <w:b/>
          <w:bCs/>
        </w:rPr>
        <w:t xml:space="preserve">Dispensational and moralistic readings</w:t>
      </w:r>
    </w:p>
    <w:p>
      <w:pPr>
        <w:pStyle w:val="BodyText"/>
      </w:pPr>
      <w:r>
        <w:t xml:space="preserve">Dispensational readings sometimes treat Judges 19 as a passage primarily about Israel’s national apostasy in its covenant-historical particularity — a dark chapter in Israel’s pre-monarchic history that is largely inapplicable to the church except as background. This reading must be</w:t>
      </w:r>
      <w:r>
        <w:t xml:space="preserve"> </w:t>
      </w:r>
      <w:r>
        <w:rPr>
          <w:i/>
          <w:iCs/>
        </w:rPr>
        <w:t xml:space="preserve">qualified</w:t>
      </w:r>
      <w:r>
        <w:t xml:space="preserve">: the passage does have its historical particularity, and that must be honored. But Scripture consistently presents Israel’s covenant failures as both historically specific and typologically instructive for God’s people in every age (Romans 15:4; 1 Corinthians 10:6-11). The moralizing reading —</w:t>
      </w:r>
      <w:r>
        <w:t xml:space="preserve"> </w:t>
      </w:r>
      <w:r>
        <w:t xml:space="preserve">“this is what happens when men do wrong; be better men”</w:t>
      </w:r>
      <w:r>
        <w:t xml:space="preserve"> </w:t>
      </w:r>
      <w:r>
        <w:t xml:space="preserve">— must be</w:t>
      </w:r>
      <w:r>
        <w:t xml:space="preserve"> </w:t>
      </w:r>
      <w:r>
        <w:rPr>
          <w:i/>
          <w:iCs/>
        </w:rPr>
        <w:t xml:space="preserve">refuted</w:t>
      </w:r>
      <w:r>
        <w:t xml:space="preserve"> </w:t>
      </w:r>
      <w:r>
        <w:t xml:space="preserve">entirely. The passage is not a moral fable about bad behavior. It is a theological diagnosis of a community that has lost God. Applications drawn only at the behavioral level (</w:t>
      </w:r>
      <w:r>
        <w:t xml:space="preserve">“protect women,”</w:t>
      </w:r>
      <w:r>
        <w:t xml:space="preserve"> </w:t>
      </w:r>
      <w:r>
        <w:t xml:space="preserve">“offer hospitality”</w:t>
      </w:r>
      <w:r>
        <w:t xml:space="preserve">) are not wrong, but they are catastrophically insufficient if they bypass the passage’s primary claim about the community’s covenant abandonment.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19:1-11</w:t>
      </w:r>
      <w:r>
        <w:t xml:space="preserve"> </w:t>
      </w:r>
      <w:r>
        <w:t xml:space="preserve">— The Sodom narrative provides the deliberate literary parallel that the text is invoking to make its central theological point: Gibeah has become Sodom, and a covenant people has become what God judged among the pagan nations.</w:t>
      </w:r>
    </w:p>
    <w:p>
      <w:pPr>
        <w:numPr>
          <w:ilvl w:val="0"/>
          <w:numId w:val="1001"/>
        </w:numPr>
      </w:pPr>
      <w:r>
        <w:rPr>
          <w:b/>
          <w:bCs/>
        </w:rPr>
        <w:t xml:space="preserve">Judges 2:11-23</w:t>
      </w:r>
      <w:r>
        <w:t xml:space="preserve"> </w:t>
      </w:r>
      <w:r>
        <w:t xml:space="preserve">— The theological framework of the whole book: Israel abandons the LORD, the LORD gives them over, they suffer, they cry out, He raises a deliverer. Chapter 19 represents the nadir of this cycle — the cry does not come until chapter 20, and even then it is a cry for national justice, not covenant repentance.</w:t>
      </w:r>
    </w:p>
    <w:p>
      <w:pPr>
        <w:numPr>
          <w:ilvl w:val="0"/>
          <w:numId w:val="1001"/>
        </w:numPr>
      </w:pPr>
      <w:r>
        <w:rPr>
          <w:b/>
          <w:bCs/>
        </w:rPr>
        <w:t xml:space="preserve">Hosea 9:9; 10:9</w:t>
      </w:r>
      <w:r>
        <w:t xml:space="preserve"> </w:t>
      </w:r>
      <w:r>
        <w:t xml:space="preserve">— The prophet explicitly recalls the days of Gibeah as the benchmark of Israel’s deepest corruption:</w:t>
      </w:r>
      <w:r>
        <w:t xml:space="preserve"> </w:t>
      </w:r>
      <w:r>
        <w:t xml:space="preserve">“They have deeply corrupted themselves as in the days of Gibeah.”</w:t>
      </w:r>
      <w:r>
        <w:t xml:space="preserve"> </w:t>
      </w:r>
      <w:r>
        <w:t xml:space="preserve">The canonical memory of this passage is carried forward in prophetic indictment.</w:t>
      </w:r>
    </w:p>
    <w:p>
      <w:pPr>
        <w:numPr>
          <w:ilvl w:val="0"/>
          <w:numId w:val="1001"/>
        </w:numPr>
      </w:pPr>
      <w:r>
        <w:rPr>
          <w:b/>
          <w:bCs/>
        </w:rPr>
        <w:t xml:space="preserve">Romans 1:18-32</w:t>
      </w:r>
      <w:r>
        <w:t xml:space="preserve"> </w:t>
      </w:r>
      <w:r>
        <w:t xml:space="preserve">— Paul’s analysis of what happens to humanity when God is suppressed: He gives them over to increasingly depraved conduct. Judges 19 is the narrative embodiment of Romans 1:28 — a community given over to a debased mind, doing what ought not to be done. The structural parallel illuminates the text’s theological mechanism.</w:t>
      </w:r>
    </w:p>
    <w:p>
      <w:pPr>
        <w:numPr>
          <w:ilvl w:val="0"/>
          <w:numId w:val="1001"/>
        </w:numPr>
      </w:pPr>
      <w:r>
        <w:rPr>
          <w:b/>
          <w:bCs/>
        </w:rPr>
        <w:t xml:space="preserve">Revelation 11:8</w:t>
      </w:r>
      <w:r>
        <w:t xml:space="preserve"> </w:t>
      </w:r>
      <w:r>
        <w:t xml:space="preserve">— The great city</w:t>
      </w:r>
      <w:r>
        <w:t xml:space="preserve"> </w:t>
      </w:r>
      <w:r>
        <w:t xml:space="preserve">“where their Lord was crucified”</w:t>
      </w:r>
      <w:r>
        <w:t xml:space="preserve"> </w:t>
      </w:r>
      <w:r>
        <w:t xml:space="preserve">is called</w:t>
      </w:r>
      <w:r>
        <w:t xml:space="preserve"> </w:t>
      </w:r>
      <w:r>
        <w:t xml:space="preserve">“spiritually Sodom and Egypt”</w:t>
      </w:r>
      <w:r>
        <w:t xml:space="preserve"> </w:t>
      </w:r>
      <w:r>
        <w:t xml:space="preserve">— confirming the canonical pattern that Sodom-language signals covenant rebellion and divine judgment, not merely pagan wickedness. The Gibeah/Sodom echo in Judges 19 participates in this larger canonical movement.</w:t>
      </w:r>
    </w:p>
    <w:p>
      <w:r>
        <w:pict>
          <v:rect style="width:0;height:1.5pt" o:hralign="center" o:hrstd="t" o:hr="t"/>
        </w:pict>
      </w:r>
    </w:p>
    <w:p>
      <w:pPr>
        <w:pStyle w:val="FirstParagraph"/>
      </w:pPr>
      <w:r>
        <w:rPr>
          <w:b/>
          <w:bCs/>
        </w:rPr>
        <w:t xml:space="preserve">Aim:</w:t>
      </w:r>
      <w:r>
        <w:t xml:space="preserve"> </w:t>
      </w:r>
      <w:r>
        <w:t xml:space="preserve">To confront the reader with the theological seriousness of covenant abandonment by showing, without softening, what a community without God inevitably becomes — and to drive the reader toward the only remedy: return to the LORD who alone sustains human dignity and justice.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Setting established: no king in Israel</w:t>
            </w:r>
          </w:p>
        </w:tc>
        <w:tc>
          <w:tcPr/>
          <w:p>
            <w:pPr>
              <w:pStyle w:val="Compact"/>
            </w:pPr>
            <w:r>
              <w:t xml:space="preserve">Refrain that bookends the book; theological, not merely historical</w:t>
            </w:r>
          </w:p>
        </w:tc>
      </w:tr>
      <w:tr>
        <w:tc>
          <w:tcPr/>
          <w:p>
            <w:pPr>
              <w:pStyle w:val="Compact"/>
            </w:pPr>
            <w:r>
              <w:t xml:space="preserve">1b</w:t>
            </w:r>
          </w:p>
        </w:tc>
        <w:tc>
          <w:tcPr/>
          <w:p>
            <w:pPr>
              <w:pStyle w:val="Compact"/>
            </w:pPr>
            <w:r>
              <w:t xml:space="preserve">A Levite from Ephraim takes a concubine from Bethlehem in Judah</w:t>
            </w:r>
          </w:p>
        </w:tc>
        <w:tc>
          <w:tcPr/>
          <w:p>
            <w:pPr>
              <w:pStyle w:val="Compact"/>
            </w:pPr>
            <w:r>
              <w:t xml:space="preserve">Levite as religious class figure — his religion will be conspicuously absent</w:t>
            </w:r>
          </w:p>
        </w:tc>
      </w:tr>
      <w:tr>
        <w:tc>
          <w:tcPr/>
          <w:p>
            <w:pPr>
              <w:pStyle w:val="Compact"/>
            </w:pPr>
            <w:r>
              <w:t xml:space="preserve">2</w:t>
            </w:r>
          </w:p>
        </w:tc>
        <w:tc>
          <w:tcPr/>
          <w:p>
            <w:pPr>
              <w:pStyle w:val="Compact"/>
            </w:pPr>
            <w:r>
              <w:t xml:space="preserve">The concubine</w:t>
            </w:r>
            <w:r>
              <w:t xml:space="preserve"> </w:t>
            </w:r>
            <w:r>
              <w:t xml:space="preserve">“plays the whore”</w:t>
            </w:r>
            <w:r>
              <w:t xml:space="preserve"> </w:t>
            </w:r>
            <w:r>
              <w:t xml:space="preserve">against him / is unfaithful and returns to her father’s house for four months</w:t>
            </w:r>
          </w:p>
        </w:tc>
        <w:tc>
          <w:tcPr/>
          <w:p>
            <w:pPr>
              <w:pStyle w:val="Compact"/>
            </w:pPr>
            <w:r>
              <w:t xml:space="preserve">Hebrew</w:t>
            </w:r>
            <w:r>
              <w:t xml:space="preserve"> </w:t>
            </w:r>
            <w:r>
              <w:rPr>
                <w:i/>
                <w:iCs/>
              </w:rPr>
              <w:t xml:space="preserve">wattizneh</w:t>
            </w:r>
            <w:r>
              <w:t xml:space="preserve"> </w:t>
            </w:r>
            <w:r>
              <w:t xml:space="preserve">— debated:</w:t>
            </w:r>
            <w:r>
              <w:t xml:space="preserve"> </w:t>
            </w:r>
            <w:r>
              <w:t xml:space="preserve">“was unfaithful”</w:t>
            </w:r>
            <w:r>
              <w:t xml:space="preserve"> </w:t>
            </w:r>
            <w:r>
              <w:t xml:space="preserve">or</w:t>
            </w:r>
            <w:r>
              <w:t xml:space="preserve"> </w:t>
            </w:r>
            <w:r>
              <w:t xml:space="preserve">“became angry”</w:t>
            </w:r>
            <w:r>
              <w:t xml:space="preserve">; either reading establishes broken relationship</w:t>
            </w:r>
          </w:p>
        </w:tc>
      </w:tr>
      <w:tr>
        <w:tc>
          <w:tcPr/>
          <w:p>
            <w:pPr>
              <w:pStyle w:val="Compact"/>
            </w:pPr>
            <w:r>
              <w:t xml:space="preserve">3</w:t>
            </w:r>
          </w:p>
        </w:tc>
        <w:tc>
          <w:tcPr/>
          <w:p>
            <w:pPr>
              <w:pStyle w:val="Compact"/>
            </w:pPr>
            <w:r>
              <w:t xml:space="preserve">The Levite goes to speak tenderly to her and bring her back; father receives him joyfully</w:t>
            </w:r>
          </w:p>
        </w:tc>
        <w:tc>
          <w:tcPr/>
          <w:p>
            <w:pPr>
              <w:pStyle w:val="Compact"/>
            </w:pPr>
            <w:r>
              <w:t xml:space="preserve">“Speak to her heart”</w:t>
            </w:r>
            <w:r>
              <w:t xml:space="preserve"> </w:t>
            </w:r>
            <w:r>
              <w:t xml:space="preserve">— language of wooing/reconciliation; father’s joy is exuberant</w:t>
            </w:r>
          </w:p>
        </w:tc>
      </w:tr>
      <w:tr>
        <w:tc>
          <w:tcPr/>
          <w:p>
            <w:pPr>
              <w:pStyle w:val="Compact"/>
            </w:pPr>
            <w:r>
              <w:t xml:space="preserve">4-9</w:t>
            </w:r>
          </w:p>
        </w:tc>
        <w:tc>
          <w:tcPr/>
          <w:p>
            <w:pPr>
              <w:pStyle w:val="Compact"/>
            </w:pPr>
            <w:r>
              <w:t xml:space="preserve">Father detains him for three and a half days; repeated urging to stay longer; Levite finally departs late on the fifth day</w:t>
            </w:r>
          </w:p>
        </w:tc>
        <w:tc>
          <w:tcPr/>
          <w:p>
            <w:pPr>
              <w:pStyle w:val="Compact"/>
            </w:pPr>
            <w:r>
              <w:t xml:space="preserve">Extended hospitality scene — the last genuine hospitality in the chapter; delay proves fateful</w:t>
            </w:r>
          </w:p>
        </w:tc>
      </w:tr>
      <w:tr>
        <w:tc>
          <w:tcPr/>
          <w:p>
            <w:pPr>
              <w:pStyle w:val="Compact"/>
            </w:pPr>
            <w:r>
              <w:t xml:space="preserve">10-11</w:t>
            </w:r>
          </w:p>
        </w:tc>
        <w:tc>
          <w:tcPr/>
          <w:p>
            <w:pPr>
              <w:pStyle w:val="Compact"/>
            </w:pPr>
            <w:r>
              <w:t xml:space="preserve">Levite departs with concubine and servant; servant suggests stopping in Jebus (Jerusalem); Levite refuses — it’s a foreign city</w:t>
            </w:r>
          </w:p>
        </w:tc>
        <w:tc>
          <w:tcPr/>
          <w:p>
            <w:pPr>
              <w:pStyle w:val="Compact"/>
            </w:pPr>
            <w:r>
              <w:t xml:space="preserve">The Levite’s ethnic reasoning leads him into greater danger in an Israelite city</w:t>
            </w:r>
          </w:p>
        </w:tc>
      </w:tr>
      <w:tr>
        <w:tc>
          <w:tcPr/>
          <w:p>
            <w:pPr>
              <w:pStyle w:val="Compact"/>
            </w:pPr>
            <w:r>
              <w:t xml:space="preserve">12-14</w:t>
            </w:r>
          </w:p>
        </w:tc>
        <w:tc>
          <w:tcPr/>
          <w:p>
            <w:pPr>
              <w:pStyle w:val="Compact"/>
            </w:pPr>
            <w:r>
              <w:t xml:space="preserve">They press on to Gibeah of Benjamin; they sit in the town square; no one takes them in</w:t>
            </w:r>
          </w:p>
        </w:tc>
        <w:tc>
          <w:tcPr/>
          <w:p>
            <w:pPr>
              <w:pStyle w:val="Compact"/>
            </w:pPr>
            <w:r>
              <w:t xml:space="preserve">Inversion of hospitality norms — Israelite city refuses what the father of Bethlehem abundantly offered</w:t>
            </w:r>
          </w:p>
        </w:tc>
      </w:tr>
      <w:tr>
        <w:tc>
          <w:tcPr/>
          <w:p>
            <w:pPr>
              <w:pStyle w:val="Compact"/>
            </w:pPr>
            <w:r>
              <w:t xml:space="preserve">15</w:t>
            </w:r>
          </w:p>
        </w:tc>
        <w:tc>
          <w:tcPr/>
          <w:p>
            <w:pPr>
              <w:pStyle w:val="Compact"/>
            </w:pPr>
            <w:r>
              <w:t xml:space="preserve">They sit in the open square of the city; no one takes them in</w:t>
            </w:r>
          </w:p>
        </w:tc>
        <w:tc>
          <w:tcPr/>
          <w:p>
            <w:pPr>
              <w:pStyle w:val="Compact"/>
            </w:pPr>
            <w:r>
              <w:t xml:space="preserve">Narrative pause emphasizing the absence — the square is empty of welcome</w:t>
            </w:r>
          </w:p>
        </w:tc>
      </w:tr>
      <w:tr>
        <w:tc>
          <w:tcPr/>
          <w:p>
            <w:pPr>
              <w:pStyle w:val="Compact"/>
            </w:pPr>
            <w:r>
              <w:t xml:space="preserve">16-21</w:t>
            </w:r>
          </w:p>
        </w:tc>
        <w:tc>
          <w:tcPr/>
          <w:p>
            <w:pPr>
              <w:pStyle w:val="Compact"/>
            </w:pPr>
            <w:r>
              <w:t xml:space="preserve">An old man from Ephraim (a sojourner, not a native Benjaminite) offers them lodging; urges them not to spend the night in the square</w:t>
            </w:r>
          </w:p>
        </w:tc>
        <w:tc>
          <w:tcPr/>
          <w:p>
            <w:pPr>
              <w:pStyle w:val="Compact"/>
            </w:pPr>
            <w:r>
              <w:t xml:space="preserve">The only hospitable actor in Gibeah is a sojourner — a native of Ephraim, not Benjamin; irony is sharp</w:t>
            </w:r>
          </w:p>
        </w:tc>
      </w:tr>
      <w:tr>
        <w:tc>
          <w:tcPr/>
          <w:p>
            <w:pPr>
              <w:pStyle w:val="Compact"/>
            </w:pPr>
            <w:r>
              <w:t xml:space="preserve">22</w:t>
            </w:r>
          </w:p>
        </w:tc>
        <w:tc>
          <w:tcPr/>
          <w:p>
            <w:pPr>
              <w:pStyle w:val="Compact"/>
            </w:pPr>
            <w:r>
              <w:t xml:space="preserve">Men of Gibeah surround the house; demand the Levite be brought out for sexual violence</w:t>
            </w:r>
          </w:p>
        </w:tc>
        <w:tc>
          <w:tcPr/>
          <w:p>
            <w:pPr>
              <w:pStyle w:val="Compact"/>
            </w:pPr>
            <w:r>
              <w:t xml:space="preserve">Echo of Genesis 19:4-5;</w:t>
            </w:r>
            <w:r>
              <w:t xml:space="preserve"> </w:t>
            </w:r>
            <w:r>
              <w:t xml:space="preserve">“sons of Belial”</w:t>
            </w:r>
            <w:r>
              <w:t xml:space="preserve"> </w:t>
            </w:r>
            <w:r>
              <w:t xml:space="preserve">— worthless men, those belonging to destruction</w:t>
            </w:r>
          </w:p>
        </w:tc>
      </w:tr>
      <w:tr>
        <w:tc>
          <w:tcPr/>
          <w:p>
            <w:pPr>
              <w:pStyle w:val="Compact"/>
            </w:pPr>
            <w:r>
              <w:t xml:space="preserve">23</w:t>
            </w:r>
          </w:p>
        </w:tc>
        <w:tc>
          <w:tcPr/>
          <w:p>
            <w:pPr>
              <w:pStyle w:val="Compact"/>
            </w:pPr>
            <w:r>
              <w:t xml:space="preserve">The host refuses; calls the demand</w:t>
            </w:r>
            <w:r>
              <w:t xml:space="preserve"> </w:t>
            </w:r>
            <w:r>
              <w:t xml:space="preserve">“vile/foolish”</w:t>
            </w:r>
            <w:r>
              <w:t xml:space="preserve"> </w:t>
            </w:r>
            <w:r>
              <w:t xml:space="preserve">(</w:t>
            </w:r>
            <w:r>
              <w:rPr>
                <w:i/>
                <w:iCs/>
              </w:rPr>
              <w:t xml:space="preserve">nebalah</w:t>
            </w:r>
            <w:r>
              <w:t xml:space="preserve">) and a</w:t>
            </w:r>
            <w:r>
              <w:t xml:space="preserve"> </w:t>
            </w:r>
            <w:r>
              <w:t xml:space="preserve">“disgrace”</w:t>
            </w:r>
          </w:p>
        </w:tc>
        <w:tc>
          <w:tcPr/>
          <w:p>
            <w:pPr>
              <w:pStyle w:val="Compact"/>
            </w:pPr>
            <w:r>
              <w:rPr>
                <w:i/>
                <w:iCs/>
              </w:rPr>
              <w:t xml:space="preserve">Nebalah</w:t>
            </w:r>
            <w:r>
              <w:t xml:space="preserve"> </w:t>
            </w:r>
            <w:r>
              <w:t xml:space="preserve">— the language of covenant violation; same term used of Dinah’s rape (Genesis 34:7) and Tamar’s rape (2 Samuel 13:12)</w:t>
            </w:r>
          </w:p>
        </w:tc>
      </w:tr>
      <w:tr>
        <w:tc>
          <w:tcPr/>
          <w:p>
            <w:pPr>
              <w:pStyle w:val="Compact"/>
            </w:pPr>
            <w:r>
              <w:t xml:space="preserve">24</w:t>
            </w:r>
          </w:p>
        </w:tc>
        <w:tc>
          <w:tcPr/>
          <w:p>
            <w:pPr>
              <w:pStyle w:val="Compact"/>
            </w:pPr>
            <w:r>
              <w:t xml:space="preserve">The host offers his own daughter and the Levite’s concubine instead</w:t>
            </w:r>
          </w:p>
        </w:tc>
        <w:tc>
          <w:tcPr/>
          <w:p>
            <w:pPr>
              <w:pStyle w:val="Compact"/>
            </w:pPr>
            <w:r>
              <w:t xml:space="preserve">Horrifying moral compromise in the name of hospitality codes — protecting the male guest at women’s expense</w:t>
            </w:r>
          </w:p>
        </w:tc>
      </w:tr>
      <w:tr>
        <w:tc>
          <w:tcPr/>
          <w:p>
            <w:pPr>
              <w:pStyle w:val="Compact"/>
            </w:pPr>
            <w:r>
              <w:t xml:space="preserve">25a</w:t>
            </w:r>
          </w:p>
        </w:tc>
        <w:tc>
          <w:tcPr/>
          <w:p>
            <w:pPr>
              <w:pStyle w:val="Compact"/>
            </w:pPr>
            <w:r>
              <w:t xml:space="preserve">The men would not listen; the Levite</w:t>
            </w:r>
            <w:r>
              <w:t xml:space="preserve"> </w:t>
            </w:r>
            <w:r>
              <w:rPr>
                <w:i/>
                <w:iCs/>
              </w:rPr>
              <w:t xml:space="preserve">seizes</w:t>
            </w:r>
            <w:r>
              <w:t xml:space="preserve"> </w:t>
            </w:r>
            <w:r>
              <w:t xml:space="preserve">his concubine and thrusts her out to them</w:t>
            </w:r>
          </w:p>
        </w:tc>
        <w:tc>
          <w:tcPr/>
          <w:p>
            <w:pPr>
              <w:pStyle w:val="Compact"/>
            </w:pPr>
            <w:r>
              <w:t xml:space="preserve">The Levite is active here — the text does not allow him to be merely passive</w:t>
            </w:r>
          </w:p>
        </w:tc>
      </w:tr>
      <w:tr>
        <w:tc>
          <w:tcPr/>
          <w:p>
            <w:pPr>
              <w:pStyle w:val="Compact"/>
            </w:pPr>
            <w:r>
              <w:t xml:space="preserve">25b-26</w:t>
            </w:r>
          </w:p>
        </w:tc>
        <w:tc>
          <w:tcPr/>
          <w:p>
            <w:pPr>
              <w:pStyle w:val="Compact"/>
            </w:pPr>
            <w:r>
              <w:t xml:space="preserve">She is abused all night; at dawn she collapses at the threshold</w:t>
            </w:r>
          </w:p>
        </w:tc>
        <w:tc>
          <w:tcPr/>
          <w:p>
            <w:pPr>
              <w:pStyle w:val="Compact"/>
            </w:pPr>
            <w:r>
              <w:t xml:space="preserve">“They knew her and abused her all night until morning”</w:t>
            </w:r>
            <w:r>
              <w:t xml:space="preserve"> </w:t>
            </w:r>
            <w:r>
              <w:t xml:space="preserve">— the text records the fact without prurience; the woman’s suffering is not minimized</w:t>
            </w:r>
          </w:p>
        </w:tc>
      </w:tr>
      <w:tr>
        <w:tc>
          <w:tcPr/>
          <w:p>
            <w:pPr>
              <w:pStyle w:val="Compact"/>
            </w:pPr>
            <w:r>
              <w:t xml:space="preserve">27-28</w:t>
            </w:r>
          </w:p>
        </w:tc>
        <w:tc>
          <w:tcPr/>
          <w:p>
            <w:pPr>
              <w:pStyle w:val="Compact"/>
            </w:pPr>
            <w:r>
              <w:t xml:space="preserve">The Levite rises in the morning, instructs her to get up; realizes she is dead; loads her on the donkey</w:t>
            </w:r>
          </w:p>
        </w:tc>
        <w:tc>
          <w:tcPr/>
          <w:p>
            <w:pPr>
              <w:pStyle w:val="Compact"/>
            </w:pPr>
            <w:r>
              <w:t xml:space="preserve">His language to her is the language of command, not concern; no grief is narrated — his affect is conspicuously absent</w:t>
            </w:r>
          </w:p>
        </w:tc>
      </w:tr>
      <w:tr>
        <w:tc>
          <w:tcPr/>
          <w:p>
            <w:pPr>
              <w:pStyle w:val="Compact"/>
            </w:pPr>
            <w:r>
              <w:t xml:space="preserve">29</w:t>
            </w:r>
          </w:p>
        </w:tc>
        <w:tc>
          <w:tcPr/>
          <w:p>
            <w:pPr>
              <w:pStyle w:val="Compact"/>
            </w:pPr>
            <w:r>
              <w:t xml:space="preserve">He goes home; takes a knife; dismembers her body into twelve pieces; sends them throughout Israel</w:t>
            </w:r>
          </w:p>
        </w:tc>
        <w:tc>
          <w:tcPr/>
          <w:p>
            <w:pPr>
              <w:pStyle w:val="Compact"/>
            </w:pPr>
            <w:r>
              <w:t xml:space="preserve">Act of extreme provocation to national action; Saul repeats this act with oxen (1 Samuel 11:7) — here it is done to a human being</w:t>
            </w:r>
          </w:p>
        </w:tc>
      </w:tr>
      <w:tr>
        <w:tc>
          <w:tcPr/>
          <w:p>
            <w:pPr>
              <w:pStyle w:val="Compact"/>
            </w:pPr>
            <w:r>
              <w:t xml:space="preserve">30</w:t>
            </w:r>
          </w:p>
        </w:tc>
        <w:tc>
          <w:tcPr/>
          <w:p>
            <w:pPr>
              <w:pStyle w:val="Compact"/>
            </w:pPr>
            <w:r>
              <w:t xml:space="preserve">All Israel responds:</w:t>
            </w:r>
            <w:r>
              <w:t xml:space="preserve"> </w:t>
            </w:r>
            <w:r>
              <w:t xml:space="preserve">“Such a thing has never happened or been seen from the day the Israelites came up out of Egypt until now; consider it, take counsel, and speak”</w:t>
            </w:r>
          </w:p>
        </w:tc>
        <w:tc>
          <w:tcPr/>
          <w:p>
            <w:pPr>
              <w:pStyle w:val="Compact"/>
            </w:pPr>
            <w:r>
              <w:t xml:space="preserve">National horror and summons to response; the narrator’s own voice seems to enter — this is the climax</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A Relationship Broken and Partly Restored — The Setup</w:t>
            </w:r>
          </w:p>
        </w:tc>
      </w:tr>
      <w:tr>
        <w:tc>
          <w:tcPr/>
          <w:p>
            <w:pPr>
              <w:pStyle w:val="Compact"/>
            </w:pPr>
            <w:r>
              <w:t xml:space="preserve">2</w:t>
            </w:r>
          </w:p>
        </w:tc>
        <w:tc>
          <w:tcPr/>
          <w:p>
            <w:pPr>
              <w:pStyle w:val="Compact"/>
            </w:pPr>
            <w:r>
              <w:t xml:space="preserve">10-15</w:t>
            </w:r>
          </w:p>
        </w:tc>
        <w:tc>
          <w:tcPr/>
          <w:p>
            <w:pPr>
              <w:pStyle w:val="Compact"/>
            </w:pPr>
            <w:r>
              <w:t xml:space="preserve">A Dangerous Choice and a Hostile City — The Journey</w:t>
            </w:r>
          </w:p>
        </w:tc>
      </w:tr>
      <w:tr>
        <w:tc>
          <w:tcPr/>
          <w:p>
            <w:pPr>
              <w:pStyle w:val="Compact"/>
            </w:pPr>
            <w:r>
              <w:t xml:space="preserve">3</w:t>
            </w:r>
          </w:p>
        </w:tc>
        <w:tc>
          <w:tcPr/>
          <w:p>
            <w:pPr>
              <w:pStyle w:val="Compact"/>
            </w:pPr>
            <w:r>
              <w:t xml:space="preserve">16-21</w:t>
            </w:r>
          </w:p>
        </w:tc>
        <w:tc>
          <w:tcPr/>
          <w:p>
            <w:pPr>
              <w:pStyle w:val="Compact"/>
            </w:pPr>
            <w:r>
              <w:t xml:space="preserve">The Last Hospitable Man in Gibeah — The Exception That Proves the Rule</w:t>
            </w:r>
          </w:p>
        </w:tc>
      </w:tr>
      <w:tr>
        <w:tc>
          <w:tcPr/>
          <w:p>
            <w:pPr>
              <w:pStyle w:val="Compact"/>
            </w:pPr>
            <w:r>
              <w:t xml:space="preserve">4</w:t>
            </w:r>
          </w:p>
        </w:tc>
        <w:tc>
          <w:tcPr/>
          <w:p>
            <w:pPr>
              <w:pStyle w:val="Compact"/>
            </w:pPr>
            <w:r>
              <w:t xml:space="preserve">22-26</w:t>
            </w:r>
          </w:p>
        </w:tc>
        <w:tc>
          <w:tcPr/>
          <w:p>
            <w:pPr>
              <w:pStyle w:val="Compact"/>
            </w:pPr>
            <w:r>
              <w:t xml:space="preserve">The Night of Horror — What Gibeah Has Become</w:t>
            </w:r>
          </w:p>
        </w:tc>
      </w:tr>
      <w:tr>
        <w:tc>
          <w:tcPr/>
          <w:p>
            <w:pPr>
              <w:pStyle w:val="Compact"/>
            </w:pPr>
            <w:r>
              <w:t xml:space="preserve">5</w:t>
            </w:r>
          </w:p>
        </w:tc>
        <w:tc>
          <w:tcPr/>
          <w:p>
            <w:pPr>
              <w:pStyle w:val="Compact"/>
            </w:pPr>
            <w:r>
              <w:t xml:space="preserve">27-30</w:t>
            </w:r>
          </w:p>
        </w:tc>
        <w:tc>
          <w:tcPr/>
          <w:p>
            <w:pPr>
              <w:pStyle w:val="Compact"/>
            </w:pPr>
            <w:r>
              <w:t xml:space="preserve">The Morning After — The Summons to Israel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God is absent from a people’s life, every human dignity collapses.</w:t>
      </w:r>
    </w:p>
    <w:p>
      <w:pPr>
        <w:pStyle w:val="BodyText"/>
      </w:pPr>
      <w:r>
        <w:rPr>
          <w:b/>
          <w:bCs/>
        </w:rPr>
        <w:t xml:space="preserve">Primary Claim:</w:t>
      </w:r>
      <w:r>
        <w:t xml:space="preserve"> </w:t>
      </w:r>
      <w:r>
        <w:t xml:space="preserve">God is showing Israel — and every reader — that a covenant community without Him does not merely decline morally but inverts the very structures of justice, protection, and dignity He designed; the horror of Gibeah is the destination of any people who have made themselves their own lord.</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Examine the religious function without the religious substance in your own life.</w:t>
      </w:r>
      <w:r>
        <w:t xml:space="preserve"> </w:t>
      </w:r>
      <w:r>
        <w:rPr>
          <w:i/>
          <w:iCs/>
        </w:rPr>
        <w:t xml:space="preserve">(Mind/belief)</w:t>
      </w:r>
    </w:p>
    <w:p>
      <w:pPr>
        <w:pStyle w:val="BodyText"/>
      </w:pPr>
      <w:r>
        <w:t xml:space="preserve">The Levite in this chapter is a Levite — a designated servant of God, a man of the sacred tribe. He travels, negotiates, eats, sleeps, makes decisions, and ultimately participates in atrocity without a single recorded prayer, appeal to God, or action taken in God’s name. His religious identity is entirely formal. The text is asking every reader who holds a religious identity — church membership, ministry role, theological literacy — to examine whether their relationship with God is similarly formal. Not</w:t>
      </w:r>
      <w:r>
        <w:t xml:space="preserve"> </w:t>
      </w:r>
      <w:r>
        <w:t xml:space="preserve">“do you believe the right things”</w:t>
      </w:r>
      <w:r>
        <w:t xml:space="preserve"> </w:t>
      </w:r>
      <w:r>
        <w:t xml:space="preserve">but</w:t>
      </w:r>
      <w:r>
        <w:t xml:space="preserve"> </w:t>
      </w:r>
      <w:r>
        <w:t xml:space="preserve">“is God actually present in your decisions, your protection of others, your daily movement through the world?”</w:t>
      </w:r>
      <w:r>
        <w:t xml:space="preserve"> </w:t>
      </w:r>
      <w:r>
        <w:t xml:space="preserve">Religious function without religious substance is not a neutral condition; it is, the text shows, a condition capable of catastrophic moral failure.</w:t>
      </w:r>
    </w:p>
    <w:p>
      <w:pPr>
        <w:pStyle w:val="BodyText"/>
      </w:pPr>
      <w:r>
        <w:rPr>
          <w:b/>
          <w:bCs/>
        </w:rPr>
        <w:t xml:space="preserve">2. Grieve what godlessness actually produces — do not domesticate the text.</w:t>
      </w:r>
      <w:r>
        <w:t xml:space="preserve"> </w:t>
      </w:r>
      <w:r>
        <w:rPr>
          <w:i/>
          <w:iCs/>
        </w:rPr>
        <w:t xml:space="preserve">(Affections/worship)</w:t>
      </w:r>
    </w:p>
    <w:p>
      <w:pPr>
        <w:pStyle w:val="BodyText"/>
      </w:pPr>
      <w:r>
        <w:t xml:space="preserve">The reader is meant to be horrified by Judges 19. The text does not soften the night of Gibeah; it records it with a kind of flat, terrible precision. One of the most common failures in reading this chapter is to move past the suffering too quickly — toward the theological lesson, toward the canonical parallel, toward the application. Do not. The woman at the threshold is an image of what the absence of God does to human beings made in His image. Let that produce genuine grief. The appropriate emotional response to this text is not clinical distance but holy revulsion — the same revulsion God expresses in Hosea 9:9 when He recalls Gibeah centuries later. A community that has lost the capacity to be horrified by horror has already traveled some distance down the road toward it.</w:t>
      </w:r>
    </w:p>
    <w:p>
      <w:pPr>
        <w:pStyle w:val="BodyText"/>
      </w:pPr>
      <w:r>
        <w:rPr>
          <w:b/>
          <w:bCs/>
        </w:rPr>
        <w:t xml:space="preserve">3. Recognize that communal godlessness has communal consequences — private faith is not enough.</w:t>
      </w:r>
      <w:r>
        <w:t xml:space="preserve"> </w:t>
      </w:r>
      <w:r>
        <w:rPr>
          <w:i/>
          <w:iCs/>
        </w:rPr>
        <w:t xml:space="preserve">(Mind/belief)</w:t>
      </w:r>
    </w:p>
    <w:p>
      <w:pPr>
        <w:pStyle w:val="BodyText"/>
      </w:pPr>
      <w:r>
        <w:t xml:space="preserve">The men of Gibeah are not a private spiritual problem — they are a city. The Levite’s moral failure is not merely personal — it produces a national crisis. The old man from Ephraim is hospitable, but his individual hospitality cannot protect his guests from the city outside his door. Judges 19 refuses to allow the reader to individualize the problem of godlessness. The question it puts to the community of God’s people is not</w:t>
      </w:r>
      <w:r>
        <w:t xml:space="preserve"> </w:t>
      </w:r>
      <w:r>
        <w:t xml:space="preserve">“are you personally walking with God?”</w:t>
      </w:r>
      <w:r>
        <w:t xml:space="preserve"> </w:t>
      </w:r>
      <w:r>
        <w:t xml:space="preserve">but</w:t>
      </w:r>
      <w:r>
        <w:t xml:space="preserve"> </w:t>
      </w:r>
      <w:r>
        <w:t xml:space="preserve">“is your community one in which the structures of protection, welcome, and justice are functioning — and if not, what does that reveal about the community’s actual relationship with its covenant Lord?”</w:t>
      </w:r>
      <w:r>
        <w:t xml:space="preserve"> </w:t>
      </w:r>
      <w:r>
        <w:t xml:space="preserve">The church that has lost its identity as God’s covenant people does not merely produce bad individuals; it produces a community in which the vulnerable are not protected.</w:t>
      </w:r>
    </w:p>
    <w:p>
      <w:pPr>
        <w:pStyle w:val="BodyText"/>
      </w:pPr>
      <w:r>
        <w:rPr>
          <w:b/>
          <w:bCs/>
        </w:rPr>
        <w:t xml:space="preserve">4. Refuse every version of the logic that sacrifices the vulnerable to protect the comfortable.</w:t>
      </w:r>
      <w:r>
        <w:t xml:space="preserve"> </w:t>
      </w:r>
      <w:r>
        <w:rPr>
          <w:i/>
          <w:iCs/>
        </w:rPr>
        <w:t xml:space="preserve">(Will/behavior)</w:t>
      </w:r>
    </w:p>
    <w:p>
      <w:pPr>
        <w:pStyle w:val="BodyText"/>
      </w:pPr>
      <w:r>
        <w:t xml:space="preserve">The host’s offer — his daughter and the concubine — and the Levite’s act of thrusting his concubine out the door both follow a logic of self-protection that sacrifices those with less power to shield those with more. This logic is not unique to ancient Israel. It operates in every human community — institutions that protect their own reputations at victims’ expense, families that silence the abused to maintain the comfortable fiction of unity, churches that protect leaders at the cost of those they have harmed. Judges 19 names this logic for what it is:</w:t>
      </w:r>
      <w:r>
        <w:t xml:space="preserve"> </w:t>
      </w:r>
      <w:r>
        <w:rPr>
          <w:i/>
          <w:iCs/>
        </w:rPr>
        <w:t xml:space="preserve">nebalah</w:t>
      </w:r>
      <w:r>
        <w:t xml:space="preserve"> </w:t>
      </w:r>
      <w:r>
        <w:t xml:space="preserve">— covenant violation, moral obscenity. The reader must identify where this logic operates in their own community and refuse it, at personal cost if necessary.</w:t>
      </w:r>
    </w:p>
    <w:p>
      <w:pPr>
        <w:pStyle w:val="BodyText"/>
      </w:pPr>
      <w:r>
        <w:rPr>
          <w:b/>
          <w:bCs/>
        </w:rPr>
        <w:t xml:space="preserve">5. Let the absence of God in this text drive you toward His presence — not moralism but return.</w:t>
      </w:r>
      <w:r>
        <w:t xml:space="preserve"> </w:t>
      </w:r>
      <w:r>
        <w:rPr>
          <w:i/>
          <w:iCs/>
        </w:rPr>
        <w:t xml:space="preserve">(Affections/worship)</w:t>
      </w:r>
    </w:p>
    <w:p>
      <w:pPr>
        <w:pStyle w:val="BodyText"/>
      </w:pPr>
      <w:r>
        <w:t xml:space="preserve">The most important response to Judges 19 is not to feel morally superior to the men of Gibeah. It is to feel the weight of what a life — and a community — looks like when God is genuinely absent from it, and to run toward Him. The text is not primarily a moral warning; it is a theological one. The question it leaves the reader with is not</w:t>
      </w:r>
      <w:r>
        <w:t xml:space="preserve"> </w:t>
      </w:r>
      <w:r>
        <w:t xml:space="preserve">“how do I avoid behaving like this?”</w:t>
      </w:r>
      <w:r>
        <w:t xml:space="preserve"> </w:t>
      </w:r>
      <w:r>
        <w:t xml:space="preserve">but</w:t>
      </w:r>
      <w:r>
        <w:t xml:space="preserve"> </w:t>
      </w:r>
      <w:r>
        <w:t xml:space="preserve">“is God actually present in my life and my community in a way that these structures of dignity, protection, and justice are functioning?”</w:t>
      </w:r>
      <w:r>
        <w:t xml:space="preserve"> </w:t>
      </w:r>
      <w:r>
        <w:t xml:space="preserve">That question drives the reader not to self-improvement but to repentance and return — to the God whose presence alone makes human community livable.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19 teaches that God is the necessary ground of human dignity and communal justice — not as a philosophical proposition but as a demonstrated reality. Remove Him from a covenant people’s actual life, and what remains is not a diminished version of the good community He designed; what remains is an inversion of it, in which power is exercised against the weak, hospitality becomes a vehicle for violence, and religious functionaries participate in atrocity without apparent awareness of the contradiction. The passage also teaches something about God’s character through His silence: He does not prevent Gibeah by miraculous intervention in this chapter. He permits the trajectory of covenant abandonment to reach its visible conclusion — not because He is indifferent, but because He is letting Israel see, through unmediated consequence, where the road of self-rule leads. The text itself is an act of divine witness: God preserving in Scripture the unvarnished account of what His people became, so that no generation can claim ignorance of what godlessness produces.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19 is a narrative demonstration of the Reformed doctrine of total depravity applied not to individuals in the abstract but to a covenant community in historical particularity. This is not paganism run amok — it is the covenant people of God, the nation through whom blessing was to come to all nations, producing Sodom from within. The Reformed tradition has always insisted that human sinfulness is not merely behavioral but structural and communal — that sin corrupts not just the will but the imagination, the social order, and the institutions through which justice is supposed to flow. Gibeah of Benjamin is the exhibition of that truth. Equally significant is the passage’s implicit testimony to the necessity of grace: nothing in Israel produces repentance here. The dismembered body calls the nation to action, but not to prayer, not to confession, not to return. The deliverer Israel needs cannot come from within itself — which is precisely the argument the book of Judges is making toward the King who will come, and ultimately toward the King who alone can restore what Gibeah destroyed. The passage, read canonically and redemptive-historically, points beyond itself to the One who will bear the violence of human godlessness in His own body and absorb it, so that what happened in Gibeah does not have the final word over the people of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This is what you get when God is actually absent — not a polite decline in standards, but the complete inversion of everything He designed: protectors become predators, guests become victims, religious men participate in atrocity, and no one prays. The question Judges 19 puts to every reader is not</w:t>
      </w:r>
      <w:r>
        <w:t xml:space="preserve"> </w:t>
      </w:r>
      <w:r>
        <w:t xml:space="preserve">“are you shocked by Gibeah?”</w:t>
      </w:r>
      <w:r>
        <w:t xml:space="preserve"> </w:t>
      </w:r>
      <w:r>
        <w:t xml:space="preserve">but</w:t>
      </w:r>
      <w:r>
        <w:t xml:space="preserve"> </w:t>
      </w:r>
      <w:r>
        <w:t xml:space="preserve">“is God genuinely present in your life and community, or are you living in the form of covenant identity while He is nowhere in your actual decisions?”</w:t>
      </w:r>
      <w:r>
        <w:t xml:space="preserve"> </w:t>
      </w:r>
      <w:r>
        <w:t xml:space="preserve">Stop domesticating this text. Let it do what God preserved it to do: drive you to your knees, back to the LORD from whom your community has drifted, before the drift reaches its conclusion.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text as primarily about sexual ethics or hospitality norms.</w:t>
      </w:r>
      <w:r>
        <w:t xml:space="preserve"> </w:t>
      </w:r>
      <w:r>
        <w:t xml:space="preserve">Both are genuinely present — the sin of the men of Gibeah includes sexual violence, and the failure of Gibeah’s citizens includes the refusal of hospitality. But preaching that stops here has read the surface and missed the claim. The text is about covenant abandonment producing these outcomes, not about these outcomes as isolated moral failures. Applications that address only the behavioral surface (</w:t>
      </w:r>
      <w:r>
        <w:t xml:space="preserve">“protect women,”</w:t>
      </w:r>
      <w:r>
        <w:t xml:space="preserve"> </w:t>
      </w:r>
      <w:r>
        <w:t xml:space="preserve">“be hospitable”</w:t>
      </w:r>
      <w:r>
        <w:t xml:space="preserve">) without addressing the theological root (the absence of God from the community’s actual life) are true but catastrophically incomplete.</w:t>
      </w:r>
    </w:p>
    <w:p>
      <w:pPr>
        <w:numPr>
          <w:ilvl w:val="0"/>
          <w:numId w:val="1002"/>
        </w:numPr>
      </w:pPr>
      <w:r>
        <w:rPr>
          <w:b/>
          <w:bCs/>
        </w:rPr>
        <w:t xml:space="preserve">Exonerating the Levite or treating him as primarily a victim.</w:t>
      </w:r>
      <w:r>
        <w:t xml:space="preserve"> </w:t>
      </w:r>
      <w:r>
        <w:t xml:space="preserve">The Levite is the most complex figure in the text, and the text does not exonerate him. He thrusts his concubine out the door; he sleeps while she is being violated; he speaks to her in the morning with the language of command rather than concern; he omits his own role in his subsequent account to the tribes. A sermon that positions him as a tragic victim misses the passage’s comprehensive indictment. Every major actor in the story — except the concubine herself — is marked by the moral disintegration of the age.</w:t>
      </w:r>
    </w:p>
    <w:p>
      <w:pPr>
        <w:numPr>
          <w:ilvl w:val="0"/>
          <w:numId w:val="1002"/>
        </w:numPr>
      </w:pPr>
      <w:r>
        <w:rPr>
          <w:b/>
          <w:bCs/>
        </w:rPr>
        <w:t xml:space="preserve">Moving too quickly past the suffering to the theological lesson.</w:t>
      </w:r>
      <w:r>
        <w:t xml:space="preserve"> </w:t>
      </w:r>
      <w:r>
        <w:t xml:space="preserve">The woman’s suffering is not an illustration; it is the content of the passage’s horror and the ground of its theological claim. Preachers who rush to the canonical parallels or the doctrinal significance without letting the congregation feel the weight of what happened to her have failed in their pastoral and homiletical responsibility to the text. Judges 19 is meant to be uncomfortable. Preach it that way.</w:t>
      </w:r>
    </w:p>
    <w:p>
      <w:pPr>
        <w:numPr>
          <w:ilvl w:val="0"/>
          <w:numId w:val="1002"/>
        </w:numPr>
      </w:pPr>
      <w:r>
        <w:rPr>
          <w:b/>
          <w:bCs/>
        </w:rPr>
        <w:t xml:space="preserve">Ignoring the deliberate silence of God as a theological feature.</w:t>
      </w:r>
      <w:r>
        <w:t xml:space="preserve"> </w:t>
      </w:r>
      <w:r>
        <w:t xml:space="preserve">God’s name does not appear in this chapter. This is not an incidental omission — it is the text’s most important structural feature, and it is the narrative embodiment of the book’s governing refrain. A sermon that does not address this silence has missed the chapter’s primary theological statement. The question to press is: where is God in this chapter? And the answer the text gives — nowhere in any character’s consciousness or action — is itself the indictment.</w:t>
      </w:r>
    </w:p>
    <w:p>
      <w:pPr>
        <w:numPr>
          <w:ilvl w:val="0"/>
          <w:numId w:val="1002"/>
        </w:numPr>
      </w:pPr>
      <w:r>
        <w:rPr>
          <w:b/>
          <w:bCs/>
        </w:rPr>
        <w:t xml:space="preserve">Reducing the application to historical distance (</w:t>
      </w:r>
      <w:r>
        <w:rPr>
          <w:b/>
          <w:bCs/>
        </w:rPr>
        <w:t xml:space="preserve">“this was ancient Israel; we’re different”</w:t>
      </w:r>
      <w:r>
        <w:rPr>
          <w:b/>
          <w:bCs/>
        </w:rPr>
        <w:t xml:space="preserve">).</w:t>
      </w:r>
      <w:r>
        <w:t xml:space="preserve"> </w:t>
      </w:r>
      <w:r>
        <w:t xml:space="preserve">The canonical afterlife of Judges 19 is instructive: Hosea invokes Gibeah as a live reference point for his own generation’s corruption (Hosea 9:9; 10:9). Paul’s analysis in Romans 1 describes a mechanism, not a unique historical episode. The prophets and apostles consistently treat Israel’s covenant failures as instructive for subsequent generations of God’s people. The preacher must press the passage into the contemporary life of the church — where are the structures of godlessness producing Gibeah-like outcomes? — without letting the historical distance become a source of comfortable exemption.</w:t>
      </w:r>
    </w:p>
    <w:p>
      <w:pPr>
        <w:numPr>
          <w:ilvl w:val="0"/>
          <w:numId w:val="1002"/>
        </w:numPr>
      </w:pPr>
      <w:r>
        <w:rPr>
          <w:b/>
          <w:bCs/>
        </w:rPr>
        <w:t xml:space="preserve">Forcing a redemptive-historical application that sentimentalizes the text.</w:t>
      </w:r>
      <w:r>
        <w:t xml:space="preserve"> </w:t>
      </w:r>
      <w:r>
        <w:t xml:space="preserve">It is true that this passage points, canonically, toward the King Israel needs and ultimately toward Christ. That move is legitimate and important. But it must not be made prematurely or in a way that softens the text’s horror into a tidy gospel illustration. The passage must first be allowed to do its full diagnostic work — to convict, to grieve, to horrify — before the redemptive-historical horizon is named. Preachers who rush to</w:t>
      </w:r>
      <w:r>
        <w:t xml:space="preserve"> </w:t>
      </w:r>
      <w:r>
        <w:t xml:space="preserve">“but Jesus…”</w:t>
      </w:r>
      <w:r>
        <w:t xml:space="preserve"> </w:t>
      </w:r>
      <w:r>
        <w:t xml:space="preserve">before the text has done its work produce hearers who feel neither the weight of godlessness nor the true relief of the gospel.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2026-07-14T21:02:29Z</dcterms:created>
  <dcterms:modified xsi:type="dcterms:W3CDTF">2026-07-14T21:02:29Z</dcterms:modified>
</cp:coreProperties>
</file>

<file path=docProps/custom.xml><?xml version="1.0" encoding="utf-8"?>
<Properties xmlns="http://schemas.openxmlformats.org/officeDocument/2006/custom-properties" xmlns:vt="http://schemas.openxmlformats.org/officeDocument/2006/docPropsVTypes"/>
</file>